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62181583" w14:textId="0E5CFD0A" w:rsidR="00472387" w:rsidRPr="00B435DF" w:rsidRDefault="00DC7CA0" w:rsidP="00DC7CA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A216DD">
        <w:rPr>
          <w:b/>
          <w:bCs/>
        </w:rPr>
        <w:t xml:space="preserve">PROCEDURA NEGOZIATA SENZA BANDO DI CUI ALL’ART. 63 DEL D.LGS. N. 50/2016 PREVISTA DALL’ART. 1 COMMA 2 LETT. B) DEL DECRETO LEGGE N. 76/2020 CONVERTITO CON MODIFICAZIONI NELLA LEGGE N. 120/2020 PER LA CONCLUSIONE DELL’ACCORDO QUADRO AI SENSI DELL’ART. 54 COMMA 3 DEL D.LGS. </w:t>
      </w:r>
      <w:proofErr w:type="gramStart"/>
      <w:r w:rsidRPr="00A216DD">
        <w:rPr>
          <w:b/>
          <w:bCs/>
        </w:rPr>
        <w:t>N,.</w:t>
      </w:r>
      <w:proofErr w:type="gramEnd"/>
      <w:r w:rsidRPr="00A216DD">
        <w:rPr>
          <w:b/>
          <w:bCs/>
        </w:rPr>
        <w:t xml:space="preserve"> 50/2016 PER OPERE </w:t>
      </w:r>
      <w:r w:rsidR="00CD02E4">
        <w:rPr>
          <w:b/>
          <w:bCs/>
        </w:rPr>
        <w:t xml:space="preserve">DA ELETTRICISTA   </w:t>
      </w:r>
      <w:r w:rsidRPr="00A216DD">
        <w:rPr>
          <w:b/>
          <w:bCs/>
        </w:rPr>
        <w:t xml:space="preserve">PER INTERVENTI DI MANUTENZIONE ORDINARIA, STRAORDINARIA, PRONTO INTERVENTO SUGLI IMMOBILI, IMPIANTI, PERTINENZE ED AREE ESTERNE APPARTENENTI AL PATRIMONIO COMUNALE </w:t>
      </w:r>
      <w:r w:rsidR="00F77293">
        <w:rPr>
          <w:b/>
          <w:bCs/>
        </w:rPr>
        <w:t xml:space="preserv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2"/>
        <w:gridCol w:w="4571"/>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77777777" w:rsidR="00FF2332" w:rsidRPr="00290B36" w:rsidRDefault="00FF2332" w:rsidP="00FF2332">
            <w:pPr>
              <w:rPr>
                <w:rFonts w:eastAsia="Times New Roman"/>
                <w:sz w:val="22"/>
                <w:lang w:eastAsia="ar-SA"/>
              </w:rPr>
            </w:pPr>
            <w:r w:rsidRPr="00290B36">
              <w:rPr>
                <w:rFonts w:eastAsia="Times New Roman"/>
                <w:sz w:val="22"/>
                <w:lang w:eastAsia="ar-SA"/>
              </w:rPr>
              <w:t xml:space="preserve">Ufficio comune operante come centrale unica di committenza, </w:t>
            </w:r>
            <w:proofErr w:type="gramStart"/>
            <w:r w:rsidRPr="00290B36">
              <w:rPr>
                <w:rFonts w:eastAsia="Times New Roman"/>
                <w:sz w:val="22"/>
                <w:lang w:eastAsia="ar-SA"/>
              </w:rPr>
              <w:t>costituito  tra</w:t>
            </w:r>
            <w:proofErr w:type="gramEnd"/>
            <w:r w:rsidRPr="00290B36">
              <w:rPr>
                <w:rFonts w:eastAsia="Times New Roman"/>
                <w:sz w:val="22"/>
                <w:lang w:eastAsia="ar-SA"/>
              </w:rPr>
              <w:t xml:space="preserve"> il Comune di Vimodrone-Comune di Cassina de Pecchi e Comune di Rodano </w:t>
            </w:r>
          </w:p>
          <w:p w14:paraId="330C110D" w14:textId="198FF71C" w:rsidR="00FF2332" w:rsidRPr="00290B36" w:rsidRDefault="00FF2332" w:rsidP="00FF2332">
            <w:pPr>
              <w:rPr>
                <w:rFonts w:eastAsia="Times New Roman"/>
                <w:sz w:val="22"/>
                <w:lang w:eastAsia="ar-SA"/>
              </w:rPr>
            </w:pPr>
            <w:r w:rsidRPr="00290B36">
              <w:rPr>
                <w:rFonts w:eastAsia="Times New Roman"/>
                <w:sz w:val="22"/>
                <w:lang w:eastAsia="ar-SA"/>
              </w:rPr>
              <w:t xml:space="preserve">  CFAVCP-0000E</w:t>
            </w:r>
            <w:proofErr w:type="gramStart"/>
            <w:r w:rsidRPr="00290B36">
              <w:rPr>
                <w:rFonts w:eastAsia="Times New Roman"/>
                <w:sz w:val="22"/>
                <w:lang w:eastAsia="ar-SA"/>
              </w:rPr>
              <w:t>15  /</w:t>
            </w:r>
            <w:proofErr w:type="gramEnd"/>
            <w:r w:rsidRPr="00290B36">
              <w:rPr>
                <w:rFonts w:eastAsia="Times New Roman"/>
                <w:sz w:val="22"/>
                <w:lang w:eastAsia="ar-SA"/>
              </w:rPr>
              <w:t xml:space="preserve"> 07430220157</w:t>
            </w:r>
          </w:p>
          <w:p w14:paraId="5D0CE578" w14:textId="2A5D190F" w:rsidR="00472387" w:rsidRPr="00290B36" w:rsidRDefault="00472387" w:rsidP="00F84A30">
            <w:pPr>
              <w:suppressAutoHyphens/>
              <w:rPr>
                <w:rFonts w:eastAsia="Times New Roman"/>
                <w:sz w:val="22"/>
                <w:lang w:eastAsia="ar-SA"/>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4623BE69" w14:textId="5EC73EE3" w:rsidR="0044310E" w:rsidRPr="0044310E" w:rsidRDefault="00472387" w:rsidP="0044310E">
            <w:pPr>
              <w:widowControl w:val="0"/>
              <w:autoSpaceDE w:val="0"/>
              <w:autoSpaceDN w:val="0"/>
              <w:adjustRightInd w:val="0"/>
              <w:spacing w:after="240" w:line="240" w:lineRule="atLeast"/>
              <w:rPr>
                <w:rFonts w:eastAsia="Times New Roman"/>
                <w:sz w:val="22"/>
                <w:lang w:eastAsia="ar-SA"/>
              </w:rPr>
            </w:pPr>
            <w:r w:rsidRPr="00290B36">
              <w:rPr>
                <w:rFonts w:eastAsia="Times New Roman"/>
                <w:sz w:val="22"/>
                <w:lang w:eastAsia="ar-SA"/>
              </w:rPr>
              <w:t>Risposta:</w:t>
            </w:r>
            <w:r w:rsidR="00033F19" w:rsidRPr="00290B36">
              <w:rPr>
                <w:rFonts w:eastAsia="Times New Roman"/>
                <w:sz w:val="22"/>
                <w:lang w:eastAsia="ar-SA"/>
              </w:rPr>
              <w:t xml:space="preserve"> </w:t>
            </w:r>
            <w:bookmarkStart w:id="0" w:name="_Hlk64966368"/>
            <w:bookmarkStart w:id="1" w:name="_Hlk64967342"/>
            <w:r w:rsidR="00DC7CA0" w:rsidRPr="00DC7CA0">
              <w:rPr>
                <w:rFonts w:eastAsia="Times New Roman"/>
                <w:sz w:val="22"/>
                <w:lang w:eastAsia="ar-SA"/>
              </w:rPr>
              <w:t xml:space="preserve">PROCEDURA NEGOZIATA SENZA BANDO DI CUI ALL’ART. 63 DEL D.LGS. N. 50/2016 PREVISTA DALL’ART. 1 COMMA 2 LETT. B) DEL DECRETO LEGGE N. 76/2020 CONVERTITO CON MODIFICAZIONI NELLA LEGGE N. 120/2020 PER LA CONCLUSIONE DELL’ACCORDO QUADRO AI SENSI DELL’ART. 54 COMMA 3 DEL D.LGS. </w:t>
            </w:r>
            <w:proofErr w:type="gramStart"/>
            <w:r w:rsidR="00DC7CA0" w:rsidRPr="00DC7CA0">
              <w:rPr>
                <w:rFonts w:eastAsia="Times New Roman"/>
                <w:sz w:val="22"/>
                <w:lang w:eastAsia="ar-SA"/>
              </w:rPr>
              <w:t>N,.</w:t>
            </w:r>
            <w:proofErr w:type="gramEnd"/>
            <w:r w:rsidR="00DC7CA0" w:rsidRPr="00DC7CA0">
              <w:rPr>
                <w:rFonts w:eastAsia="Times New Roman"/>
                <w:sz w:val="22"/>
                <w:lang w:eastAsia="ar-SA"/>
              </w:rPr>
              <w:t xml:space="preserve"> 50/2016 PER OPERE</w:t>
            </w:r>
            <w:r w:rsidR="00CD02E4">
              <w:rPr>
                <w:b/>
                <w:bCs/>
              </w:rPr>
              <w:t xml:space="preserve"> </w:t>
            </w:r>
            <w:r w:rsidR="00CD02E4" w:rsidRPr="00CD02E4">
              <w:rPr>
                <w:rFonts w:eastAsia="Times New Roman"/>
                <w:sz w:val="22"/>
                <w:lang w:eastAsia="ar-SA"/>
              </w:rPr>
              <w:t xml:space="preserve">DA </w:t>
            </w:r>
            <w:proofErr w:type="gramStart"/>
            <w:r w:rsidR="00CD02E4" w:rsidRPr="00CD02E4">
              <w:rPr>
                <w:rFonts w:eastAsia="Times New Roman"/>
                <w:sz w:val="22"/>
                <w:lang w:eastAsia="ar-SA"/>
              </w:rPr>
              <w:t>ELETTRICISTA</w:t>
            </w:r>
            <w:r w:rsidR="00CD02E4">
              <w:rPr>
                <w:b/>
                <w:bCs/>
              </w:rPr>
              <w:t xml:space="preserve">  </w:t>
            </w:r>
            <w:r w:rsidR="00DC7CA0" w:rsidRPr="00DC7CA0">
              <w:rPr>
                <w:rFonts w:eastAsia="Times New Roman"/>
                <w:sz w:val="22"/>
                <w:lang w:eastAsia="ar-SA"/>
              </w:rPr>
              <w:t>PER</w:t>
            </w:r>
            <w:proofErr w:type="gramEnd"/>
            <w:r w:rsidR="00DC7CA0" w:rsidRPr="00DC7CA0">
              <w:rPr>
                <w:rFonts w:eastAsia="Times New Roman"/>
                <w:sz w:val="22"/>
                <w:lang w:eastAsia="ar-SA"/>
              </w:rPr>
              <w:t xml:space="preserve"> INTERVENTI DI MANUTENZIONE ORDINARIA, STRAORDINARIA, PRONTO INTERVENTO SUGLI IMMOBILI, IMPIANTI, PERTINENZE ED AREE ESTERNE APPARTENENTI AL PATRIMONIO COMUNALE</w:t>
            </w:r>
            <w:r w:rsidR="0044310E" w:rsidRPr="0044310E">
              <w:rPr>
                <w:rFonts w:eastAsia="Times New Roman"/>
                <w:sz w:val="22"/>
                <w:lang w:eastAsia="ar-SA"/>
              </w:rPr>
              <w:t xml:space="preserve">  </w:t>
            </w:r>
          </w:p>
          <w:bookmarkEnd w:id="0"/>
          <w:bookmarkEnd w:id="1"/>
          <w:p w14:paraId="1D23CF2D" w14:textId="644CA0A1" w:rsidR="00E76310" w:rsidRPr="00290B36" w:rsidRDefault="00E76310" w:rsidP="00E76310">
            <w:pPr>
              <w:widowControl w:val="0"/>
              <w:autoSpaceDE w:val="0"/>
              <w:autoSpaceDN w:val="0"/>
              <w:adjustRightInd w:val="0"/>
              <w:spacing w:after="240" w:line="240" w:lineRule="atLeast"/>
              <w:rPr>
                <w:rFonts w:eastAsia="Times New Roman"/>
                <w:sz w:val="22"/>
                <w:lang w:eastAsia="ar-SA"/>
              </w:rPr>
            </w:pPr>
          </w:p>
          <w:p w14:paraId="3CD43A56" w14:textId="2AC6F13B" w:rsidR="00472387" w:rsidRPr="00290B36" w:rsidRDefault="00472387" w:rsidP="00F84A30">
            <w:pPr>
              <w:rPr>
                <w:rFonts w:eastAsia="Times New Roman"/>
                <w:sz w:val="22"/>
                <w:lang w:eastAsia="ar-SA"/>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458AF241" w14:textId="05970D02" w:rsidR="00DC7CA0" w:rsidRPr="00DC7CA0" w:rsidRDefault="00DC7CA0" w:rsidP="00DC7CA0">
            <w:pPr>
              <w:pStyle w:val="Proposta"/>
              <w:rPr>
                <w:rFonts w:ascii="Times New Roman" w:hAnsi="Times New Roman" w:cs="Times New Roman"/>
                <w:sz w:val="22"/>
                <w:szCs w:val="22"/>
                <w:lang w:eastAsia="ar-SA" w:bidi="it-IT"/>
              </w:rPr>
            </w:pPr>
            <w:bookmarkStart w:id="2" w:name="_Hlk22722500"/>
            <w:r w:rsidRPr="00DC7CA0">
              <w:rPr>
                <w:rFonts w:ascii="Times New Roman" w:hAnsi="Times New Roman" w:cs="Times New Roman"/>
                <w:sz w:val="22"/>
                <w:szCs w:val="22"/>
                <w:lang w:eastAsia="ar-SA" w:bidi="it-IT"/>
              </w:rPr>
              <w:t xml:space="preserve">Le opere oggetto dell’accordo quadro </w:t>
            </w:r>
            <w:proofErr w:type="gramStart"/>
            <w:r w:rsidRPr="00DC7CA0">
              <w:rPr>
                <w:rFonts w:ascii="Times New Roman" w:hAnsi="Times New Roman" w:cs="Times New Roman"/>
                <w:sz w:val="22"/>
                <w:szCs w:val="22"/>
                <w:lang w:eastAsia="ar-SA" w:bidi="it-IT"/>
              </w:rPr>
              <w:t xml:space="preserve">sono  </w:t>
            </w:r>
            <w:bookmarkStart w:id="3" w:name="_Hlk70954982"/>
            <w:r w:rsidRPr="00DC7CA0">
              <w:rPr>
                <w:rFonts w:ascii="Times New Roman" w:hAnsi="Times New Roman" w:cs="Times New Roman"/>
                <w:sz w:val="22"/>
                <w:szCs w:val="22"/>
                <w:lang w:eastAsia="ar-SA" w:bidi="it-IT"/>
              </w:rPr>
              <w:t>le</w:t>
            </w:r>
            <w:proofErr w:type="gramEnd"/>
            <w:r w:rsidRPr="00DC7CA0">
              <w:rPr>
                <w:rFonts w:ascii="Times New Roman" w:hAnsi="Times New Roman" w:cs="Times New Roman"/>
                <w:sz w:val="22"/>
                <w:szCs w:val="22"/>
                <w:lang w:eastAsia="ar-SA" w:bidi="it-IT"/>
              </w:rPr>
              <w:t xml:space="preserve"> opere </w:t>
            </w:r>
            <w:r w:rsidR="00F77293">
              <w:rPr>
                <w:rFonts w:ascii="Times New Roman" w:hAnsi="Times New Roman" w:cs="Times New Roman"/>
                <w:sz w:val="22"/>
                <w:szCs w:val="22"/>
                <w:lang w:eastAsia="ar-SA" w:bidi="it-IT"/>
              </w:rPr>
              <w:t xml:space="preserve">da </w:t>
            </w:r>
            <w:r w:rsidR="003848F2">
              <w:rPr>
                <w:rFonts w:ascii="Times New Roman" w:hAnsi="Times New Roman" w:cs="Times New Roman"/>
                <w:sz w:val="22"/>
                <w:szCs w:val="22"/>
                <w:lang w:eastAsia="ar-SA" w:bidi="it-IT"/>
              </w:rPr>
              <w:t>elettricista</w:t>
            </w:r>
            <w:r w:rsidR="00EF6BE4">
              <w:rPr>
                <w:rFonts w:ascii="Times New Roman" w:hAnsi="Times New Roman" w:cs="Times New Roman"/>
                <w:sz w:val="22"/>
                <w:szCs w:val="22"/>
                <w:lang w:eastAsia="ar-SA" w:bidi="it-IT"/>
              </w:rPr>
              <w:t xml:space="preserve"> </w:t>
            </w:r>
            <w:r w:rsidRPr="00DC7CA0">
              <w:rPr>
                <w:rFonts w:ascii="Times New Roman" w:hAnsi="Times New Roman" w:cs="Times New Roman"/>
                <w:sz w:val="22"/>
                <w:szCs w:val="22"/>
                <w:lang w:eastAsia="ar-SA" w:bidi="it-IT"/>
              </w:rPr>
              <w:t>occorrenti per la realizzazione di interventi di manutenzione ordinaria, straordinaria, interventi di pronto intervento sugli immobili, impianti, pertinenze e aree esterne appartenenti al patrimonio comunale</w:t>
            </w:r>
            <w:bookmarkEnd w:id="3"/>
            <w:r w:rsidRPr="00DC7CA0">
              <w:rPr>
                <w:rFonts w:ascii="Times New Roman" w:hAnsi="Times New Roman" w:cs="Times New Roman"/>
                <w:sz w:val="22"/>
                <w:szCs w:val="22"/>
                <w:lang w:eastAsia="ar-SA" w:bidi="it-IT"/>
              </w:rPr>
              <w:t>.</w:t>
            </w:r>
          </w:p>
          <w:p w14:paraId="7E7C8CD7" w14:textId="77777777" w:rsidR="00DC7CA0" w:rsidRPr="00DC7CA0" w:rsidRDefault="00DC7CA0" w:rsidP="00DC7CA0">
            <w:pPr>
              <w:pStyle w:val="Nessunaspaziatura1"/>
              <w:ind w:left="0" w:right="-20"/>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 xml:space="preserve">Le opere possono essere definite in via generale ma non nella loro descrizione compiuta, nel numero e nella localizzazione. Essi dipenderanno dalle necessità che verranno evidenziate dalla Direzione dei Lavori nell’arco di tempo previsto di vigenza dell’Accordo Quadro. Pertanto le opere e le prestazioni di cui sopra saranno descritte e compiutamente disciplinate nell’ambito dei contratti applicativi e nei documenti di esecuzione di questi, quali gli ordini di lavoro emessi in esecuzione di ciascun contratto applicativo. </w:t>
            </w:r>
          </w:p>
          <w:p w14:paraId="0B33FD29" w14:textId="77777777" w:rsidR="00DC7CA0" w:rsidRPr="00DC7CA0" w:rsidRDefault="00DC7CA0" w:rsidP="00DC7CA0">
            <w:pPr>
              <w:pStyle w:val="Nessunaspaziatura1"/>
              <w:ind w:left="0" w:right="-20"/>
              <w:rPr>
                <w:rFonts w:ascii="Times New Roman" w:eastAsia="Times New Roman" w:hAnsi="Times New Roman"/>
                <w:bCs w:val="0"/>
                <w:lang w:eastAsia="ar-SA" w:bidi="it-IT"/>
              </w:rPr>
            </w:pPr>
            <w:r w:rsidRPr="00DC7CA0">
              <w:rPr>
                <w:rFonts w:ascii="Times New Roman" w:eastAsia="Times New Roman" w:hAnsi="Times New Roman"/>
                <w:bCs w:val="0"/>
                <w:lang w:eastAsia="ar-SA" w:bidi="it-IT"/>
              </w:rPr>
              <w:t>L’esecuzione dei lavori sarà oggetto di contratti applicativi che l’appaltatore si impegna ad assumere alle condizioni offerte in sede di gara entro il limite massimo dell’importo previsto per il periodo di validità dell’Accordo Quadro. La conclusione dell’Accordo Quadro non impegna in alcun modo il Comune a concludere i contratti applicativi per l’intero importo dell’Accordo Quadro. L’appaltatore non avrà nulla a pretendere fintanto che il Comune non darà esecuzione ai contratti applicativi.</w:t>
            </w:r>
          </w:p>
          <w:p w14:paraId="039B5B4D" w14:textId="77777777" w:rsidR="00812972" w:rsidRDefault="00812972" w:rsidP="00812972">
            <w:pPr>
              <w:spacing w:line="0" w:lineRule="atLeast"/>
              <w:rPr>
                <w:rFonts w:eastAsia="Times New Roman"/>
              </w:rPr>
            </w:pPr>
            <w:r>
              <w:t>Più dettagliatamente si potrà procedere all’esecuzione delle seguenti opere:</w:t>
            </w:r>
          </w:p>
          <w:p w14:paraId="7A0A59A2" w14:textId="77777777" w:rsidR="00812972" w:rsidRDefault="00812972" w:rsidP="00812972">
            <w:pPr>
              <w:spacing w:line="81" w:lineRule="exact"/>
            </w:pPr>
          </w:p>
          <w:p w14:paraId="7A1D92AF" w14:textId="77777777" w:rsidR="00812972" w:rsidRDefault="00812972" w:rsidP="00812972">
            <w:pPr>
              <w:numPr>
                <w:ilvl w:val="0"/>
                <w:numId w:val="35"/>
              </w:numPr>
              <w:tabs>
                <w:tab w:val="left" w:pos="840"/>
              </w:tabs>
              <w:spacing w:before="0" w:after="0" w:line="264" w:lineRule="auto"/>
              <w:ind w:left="840" w:hanging="564"/>
            </w:pPr>
            <w:r>
              <w:t>sostituzione o riparazione di componenti elettrici dei sistemi di alimentazione, distribuzione e dei circuiti terminali, compresi tutti gli apparecchi di illuminazione, di protezione, comando e controllo, prese, etc.;</w:t>
            </w:r>
          </w:p>
          <w:p w14:paraId="5B914712" w14:textId="77777777" w:rsidR="00812972" w:rsidRDefault="00812972" w:rsidP="00812972">
            <w:pPr>
              <w:spacing w:line="91" w:lineRule="exact"/>
            </w:pPr>
          </w:p>
          <w:p w14:paraId="6F607559" w14:textId="77777777" w:rsidR="00812972" w:rsidRDefault="00812972" w:rsidP="00812972">
            <w:pPr>
              <w:numPr>
                <w:ilvl w:val="0"/>
                <w:numId w:val="35"/>
              </w:numPr>
              <w:tabs>
                <w:tab w:val="left" w:pos="840"/>
              </w:tabs>
              <w:spacing w:before="0" w:after="0" w:line="252" w:lineRule="auto"/>
              <w:ind w:left="840" w:hanging="564"/>
              <w:jc w:val="left"/>
            </w:pPr>
            <w:r>
              <w:t>sostituzione di piccoli accessori e minuteria elettrica (lampade, fusibili, schermi, tubi fluorescenti, reattori, starter, etc.);</w:t>
            </w:r>
          </w:p>
          <w:p w14:paraId="6282C22E" w14:textId="77777777" w:rsidR="00812972" w:rsidRDefault="00812972" w:rsidP="00812972">
            <w:pPr>
              <w:spacing w:line="104" w:lineRule="exact"/>
            </w:pPr>
          </w:p>
          <w:p w14:paraId="4D603973" w14:textId="77777777" w:rsidR="00812972" w:rsidRDefault="00812972" w:rsidP="00812972">
            <w:pPr>
              <w:numPr>
                <w:ilvl w:val="0"/>
                <w:numId w:val="35"/>
              </w:numPr>
              <w:tabs>
                <w:tab w:val="left" w:pos="840"/>
              </w:tabs>
              <w:spacing w:before="0" w:after="0" w:line="264" w:lineRule="auto"/>
              <w:ind w:left="840" w:hanging="564"/>
            </w:pPr>
            <w:r>
              <w:t xml:space="preserve">ricerca e riparazione di guasti elettrici e/o elettromeccanici, attraverso l’utilizzo di attrezzature e </w:t>
            </w:r>
            <w:r>
              <w:lastRenderedPageBreak/>
              <w:t>macchinari e quanto altro necessario alla esecuzione dei lavori richiesti;</w:t>
            </w:r>
          </w:p>
          <w:p w14:paraId="7F88C957" w14:textId="77777777" w:rsidR="00812972" w:rsidRDefault="00812972" w:rsidP="00812972">
            <w:pPr>
              <w:spacing w:line="72" w:lineRule="exact"/>
            </w:pPr>
          </w:p>
          <w:p w14:paraId="3DA10345" w14:textId="77777777" w:rsidR="00812972" w:rsidRDefault="00812972" w:rsidP="00812972">
            <w:pPr>
              <w:numPr>
                <w:ilvl w:val="0"/>
                <w:numId w:val="35"/>
              </w:numPr>
              <w:tabs>
                <w:tab w:val="left" w:pos="840"/>
              </w:tabs>
              <w:spacing w:before="0" w:after="0" w:line="0" w:lineRule="atLeast"/>
              <w:ind w:left="840" w:hanging="564"/>
              <w:jc w:val="left"/>
            </w:pPr>
            <w:r>
              <w:t>sostituzione o riparazione di ogni parte componente gli impianti elettrici;</w:t>
            </w:r>
          </w:p>
          <w:p w14:paraId="650740DC" w14:textId="77777777" w:rsidR="00812972" w:rsidRDefault="00812972" w:rsidP="00812972">
            <w:pPr>
              <w:spacing w:line="121" w:lineRule="exact"/>
            </w:pPr>
          </w:p>
          <w:p w14:paraId="62502D1C" w14:textId="77777777" w:rsidR="00812972" w:rsidRDefault="00812972" w:rsidP="00812972">
            <w:pPr>
              <w:numPr>
                <w:ilvl w:val="0"/>
                <w:numId w:val="35"/>
              </w:numPr>
              <w:tabs>
                <w:tab w:val="left" w:pos="840"/>
              </w:tabs>
              <w:spacing w:before="0" w:after="0" w:line="264" w:lineRule="auto"/>
              <w:ind w:left="840" w:hanging="564"/>
            </w:pPr>
            <w:r>
              <w:t>conduzione degli impianti elettrici che deve assicurare la continuità di servizio degli impianti stessi e deve inoltre garantire, nei singoli locali di ogni edificio, il mantenimento delle funzioni per cui l’impianto è stato realizzato;</w:t>
            </w:r>
          </w:p>
          <w:p w14:paraId="38DF684F" w14:textId="77777777" w:rsidR="00812972" w:rsidRDefault="00812972" w:rsidP="00812972">
            <w:pPr>
              <w:spacing w:line="94" w:lineRule="exact"/>
            </w:pPr>
          </w:p>
          <w:p w14:paraId="6DB17012" w14:textId="77777777" w:rsidR="00812972" w:rsidRDefault="00812972" w:rsidP="00812972">
            <w:pPr>
              <w:numPr>
                <w:ilvl w:val="0"/>
                <w:numId w:val="35"/>
              </w:numPr>
              <w:tabs>
                <w:tab w:val="left" w:pos="840"/>
              </w:tabs>
              <w:spacing w:before="0" w:after="0" w:line="264" w:lineRule="auto"/>
              <w:ind w:left="840" w:hanging="564"/>
            </w:pPr>
            <w:r>
              <w:t>attività di manutenzione degli impianti elettrici che devono essere volte a garantire la piena disponibilità degli stessi relativamente agli immobili ed aree esterne del Comune e la predizione temporale delle eventuali attività di ripristino/sostituzione che dovessero rendersi necessarie;</w:t>
            </w:r>
          </w:p>
          <w:p w14:paraId="4B25466B" w14:textId="77777777" w:rsidR="00812972" w:rsidRDefault="00812972" w:rsidP="00812972">
            <w:pPr>
              <w:spacing w:line="94" w:lineRule="exact"/>
            </w:pPr>
          </w:p>
          <w:p w14:paraId="700B55A7" w14:textId="77777777" w:rsidR="00812972" w:rsidRDefault="00812972" w:rsidP="00812972">
            <w:pPr>
              <w:numPr>
                <w:ilvl w:val="0"/>
                <w:numId w:val="35"/>
              </w:numPr>
              <w:tabs>
                <w:tab w:val="left" w:pos="840"/>
              </w:tabs>
              <w:spacing w:before="0" w:after="0" w:line="264" w:lineRule="auto"/>
              <w:ind w:left="840" w:hanging="564"/>
            </w:pPr>
            <w:r>
              <w:t>attività di manutenzione volte a garantire la piena disponibilità delle reti relativamente agli immobili del Comune e la predizione temporale delle eventuali attività di ripristino/sostituzione che dovessero rendersi necessarie.</w:t>
            </w:r>
          </w:p>
          <w:p w14:paraId="7DE1DF40" w14:textId="77777777" w:rsidR="00812972" w:rsidRDefault="00812972" w:rsidP="00812972">
            <w:pPr>
              <w:pStyle w:val="Paragrafoelenco"/>
              <w:rPr>
                <w:rFonts w:eastAsia="Times New Roman"/>
                <w:szCs w:val="24"/>
              </w:rPr>
            </w:pPr>
          </w:p>
          <w:p w14:paraId="1572B31F" w14:textId="77777777" w:rsidR="00812972" w:rsidRDefault="00812972" w:rsidP="00812972">
            <w:pPr>
              <w:spacing w:line="97" w:lineRule="exact"/>
            </w:pPr>
          </w:p>
          <w:p w14:paraId="42FC5E43" w14:textId="77777777" w:rsidR="00812972" w:rsidRDefault="00812972" w:rsidP="00812972">
            <w:pPr>
              <w:tabs>
                <w:tab w:val="left" w:pos="840"/>
              </w:tabs>
              <w:spacing w:line="264" w:lineRule="auto"/>
              <w:ind w:left="840"/>
            </w:pPr>
          </w:p>
          <w:p w14:paraId="66B8FEA3" w14:textId="77777777" w:rsidR="00812972" w:rsidRDefault="00812972" w:rsidP="00812972">
            <w:pPr>
              <w:pStyle w:val="NormaleWeb"/>
              <w:spacing w:before="91" w:beforeAutospacing="0"/>
              <w:jc w:val="both"/>
              <w:rPr>
                <w:lang w:bidi="it-IT"/>
              </w:rPr>
            </w:pPr>
            <w:r>
              <w:rPr>
                <w:lang w:bidi="it-IT"/>
              </w:rPr>
              <w:t xml:space="preserve">Per maggiori indicazioni e dettagli si rinvia agli elaborati progettuali. </w:t>
            </w:r>
          </w:p>
          <w:bookmarkEnd w:id="2"/>
          <w:p w14:paraId="76D992CA" w14:textId="0912EBFC" w:rsidR="000D6167" w:rsidRPr="00290B36" w:rsidRDefault="000D6167" w:rsidP="00812972">
            <w:pPr>
              <w:pStyle w:val="Nessunaspaziatura1"/>
              <w:ind w:left="0" w:right="-20"/>
              <w:rPr>
                <w:rFonts w:eastAsia="Times New Roman"/>
              </w:rPr>
            </w:pP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7842EC4C" w:rsidR="000D6167" w:rsidRPr="00B435DF" w:rsidRDefault="00290B36">
            <w:pPr>
              <w:rPr>
                <w:rFonts w:ascii="Arial" w:hAnsi="Arial" w:cs="Arial"/>
                <w:color w:val="000000" w:themeColor="text1"/>
                <w:sz w:val="15"/>
                <w:szCs w:val="15"/>
              </w:rPr>
            </w:pPr>
            <w:r>
              <w:rPr>
                <w:rFonts w:ascii="Arial" w:hAnsi="Arial" w:cs="Arial"/>
                <w:color w:val="000000" w:themeColor="text1"/>
                <w:sz w:val="15"/>
                <w:szCs w:val="15"/>
              </w:rPr>
              <w:t>_</w:t>
            </w:r>
            <w:r w:rsidRPr="00290B36">
              <w:rPr>
                <w:rFonts w:ascii="Arial" w:hAnsi="Arial" w:cs="Arial"/>
                <w:color w:val="000000" w:themeColor="text1"/>
                <w:sz w:val="15"/>
                <w:szCs w:val="15"/>
                <w:highlight w:val="yellow"/>
              </w:rPr>
              <w:t>_____________________________</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3603621C" w14:textId="2B6F1CA8" w:rsidR="00FF2332" w:rsidRPr="001200FE" w:rsidRDefault="00F77293" w:rsidP="00F84A30">
            <w:pPr>
              <w:suppressAutoHyphens/>
              <w:rPr>
                <w:rFonts w:eastAsia="Arial"/>
                <w:bCs/>
                <w:sz w:val="22"/>
              </w:rPr>
            </w:pPr>
            <w:r w:rsidRPr="001200FE">
              <w:rPr>
                <w:b/>
                <w:bCs/>
              </w:rPr>
              <w:lastRenderedPageBreak/>
              <w:t>______________________</w:t>
            </w:r>
          </w:p>
          <w:p w14:paraId="7DFD1347" w14:textId="77777777" w:rsidR="00290B36" w:rsidRPr="001200FE" w:rsidRDefault="00290B36" w:rsidP="00F84A30">
            <w:pPr>
              <w:suppressAutoHyphens/>
              <w:rPr>
                <w:rFonts w:eastAsia="Arial"/>
                <w:bCs/>
                <w:color w:val="000000" w:themeColor="text1"/>
                <w:sz w:val="15"/>
                <w:szCs w:val="15"/>
              </w:rPr>
            </w:pPr>
          </w:p>
          <w:p w14:paraId="615D90EC" w14:textId="4F00937A" w:rsidR="00290B36" w:rsidRPr="001200FE" w:rsidRDefault="001200FE" w:rsidP="00F84A30">
            <w:pPr>
              <w:suppressAutoHyphens/>
              <w:rPr>
                <w:rFonts w:eastAsia="Arial"/>
                <w:bCs/>
                <w:color w:val="000000" w:themeColor="text1"/>
                <w:sz w:val="15"/>
                <w:szCs w:val="15"/>
              </w:rPr>
            </w:pPr>
            <w:r w:rsidRPr="001200FE">
              <w:rPr>
                <w:rFonts w:eastAsia="Arial"/>
                <w:bCs/>
                <w:color w:val="000000" w:themeColor="text1"/>
                <w:sz w:val="15"/>
                <w:szCs w:val="15"/>
              </w:rPr>
              <w:t>/</w:t>
            </w:r>
          </w:p>
          <w:p w14:paraId="0E565133" w14:textId="70D974AA" w:rsidR="00290B36" w:rsidRPr="001200FE" w:rsidRDefault="00290B36" w:rsidP="00F84A30">
            <w:pPr>
              <w:suppressAutoHyphens/>
              <w:rPr>
                <w:rFonts w:eastAsia="Arial"/>
                <w:bCs/>
                <w:color w:val="000000" w:themeColor="text1"/>
                <w:sz w:val="15"/>
                <w:szCs w:val="15"/>
              </w:rPr>
            </w:pP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lastRenderedPageBreak/>
        <w:t>Tutte le altre informazioni in tutte le sezioni del DGUE devono essere inserite dall'operatore economico</w:t>
      </w:r>
    </w:p>
    <w:p w14:paraId="25AB410C" w14:textId="34FE605A" w:rsidR="00472387" w:rsidRPr="00B435DF" w:rsidRDefault="00472387" w:rsidP="001200FE">
      <w:pPr>
        <w:spacing w:before="0"/>
        <w:rPr>
          <w:color w:val="000000" w:themeColor="text1"/>
          <w:sz w:val="15"/>
          <w:szCs w:val="15"/>
        </w:rPr>
      </w:pPr>
      <w:r w:rsidRPr="00B435DF">
        <w:rPr>
          <w:color w:val="000000" w:themeColor="text1"/>
          <w:sz w:val="15"/>
          <w:szCs w:val="15"/>
        </w:rPr>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 xml:space="preserve">l'operatore economico è un laboratorio protetto, </w:t>
            </w:r>
            <w:proofErr w:type="gramStart"/>
            <w:r w:rsidRPr="00B435DF">
              <w:rPr>
                <w:rFonts w:ascii="Arial" w:hAnsi="Arial" w:cs="Arial"/>
                <w:color w:val="000000" w:themeColor="text1"/>
                <w:sz w:val="15"/>
                <w:szCs w:val="15"/>
              </w:rPr>
              <w:t>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435DF">
              <w:rPr>
                <w:rFonts w:ascii="Arial" w:hAnsi="Arial" w:cs="Arial"/>
                <w:b/>
                <w:color w:val="000000" w:themeColor="text1"/>
                <w:sz w:val="15"/>
                <w:szCs w:val="15"/>
              </w:rPr>
              <w:t>la  parte</w:t>
            </w:r>
            <w:proofErr w:type="gramEnd"/>
            <w:r w:rsidRPr="00B435DF">
              <w:rPr>
                <w:rFonts w:ascii="Arial" w:hAnsi="Arial" w:cs="Arial"/>
                <w:b/>
                <w:color w:val="000000" w:themeColor="text1"/>
                <w:sz w:val="15"/>
                <w:szCs w:val="15"/>
              </w:rPr>
              <w:t xml:space="preserv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w:t>
            </w:r>
            <w:proofErr w:type="gramStart"/>
            <w:r w:rsidRPr="00B435DF">
              <w:rPr>
                <w:rFonts w:ascii="Arial" w:eastAsia="Times New Roman" w:hAnsi="Arial" w:cs="Arial"/>
                <w:bCs/>
                <w:color w:val="000000" w:themeColor="text1"/>
                <w:sz w:val="15"/>
                <w:szCs w:val="15"/>
              </w:rPr>
              <w:t>possesso  di</w:t>
            </w:r>
            <w:proofErr w:type="gramEnd"/>
            <w:r w:rsidRPr="00B435DF">
              <w:rPr>
                <w:rFonts w:ascii="Arial" w:eastAsia="Times New Roman" w:hAnsi="Arial" w:cs="Arial"/>
                <w:bCs/>
                <w:color w:val="000000" w:themeColor="text1"/>
                <w:sz w:val="15"/>
                <w:szCs w:val="15"/>
              </w:rPr>
              <w:t xml:space="preserve">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0DD9606D" w14:textId="77777777" w:rsidR="001200FE" w:rsidRDefault="001200FE" w:rsidP="001200FE">
      <w:pPr>
        <w:spacing w:before="0"/>
        <w:rPr>
          <w:rFonts w:ascii="Arial" w:hAnsi="Arial" w:cs="Arial"/>
          <w:color w:val="000000" w:themeColor="text1"/>
          <w:sz w:val="15"/>
          <w:szCs w:val="15"/>
        </w:rPr>
      </w:pPr>
    </w:p>
    <w:p w14:paraId="41A9221E" w14:textId="77777777" w:rsidR="001200FE" w:rsidRDefault="001200FE" w:rsidP="001200FE">
      <w:pPr>
        <w:spacing w:before="0"/>
        <w:rPr>
          <w:rFonts w:ascii="Arial" w:hAnsi="Arial" w:cs="Arial"/>
          <w:color w:val="000000" w:themeColor="text1"/>
          <w:sz w:val="15"/>
          <w:szCs w:val="15"/>
        </w:rPr>
      </w:pPr>
    </w:p>
    <w:p w14:paraId="4B580642" w14:textId="77777777" w:rsidR="001200FE" w:rsidRDefault="001200FE" w:rsidP="001200FE">
      <w:pPr>
        <w:spacing w:before="0"/>
        <w:rPr>
          <w:rFonts w:ascii="Arial" w:hAnsi="Arial" w:cs="Arial"/>
          <w:color w:val="000000" w:themeColor="text1"/>
          <w:sz w:val="15"/>
          <w:szCs w:val="15"/>
        </w:rPr>
      </w:pPr>
    </w:p>
    <w:p w14:paraId="1320E1D8" w14:textId="108EA4E1" w:rsidR="008956BD" w:rsidRPr="00B435DF" w:rsidRDefault="00472387" w:rsidP="001200FE">
      <w:pPr>
        <w:spacing w:before="0"/>
        <w:rPr>
          <w:rFonts w:ascii="Arial" w:hAnsi="Arial" w:cs="Arial"/>
          <w:caps/>
          <w:smallCaps/>
          <w:color w:val="000000" w:themeColor="text1"/>
          <w:sz w:val="15"/>
          <w:szCs w:val="15"/>
        </w:rPr>
      </w:pPr>
      <w:r w:rsidRPr="00B435DF">
        <w:rPr>
          <w:color w:val="000000" w:themeColor="text1"/>
          <w:sz w:val="15"/>
          <w:szCs w:val="15"/>
        </w:rPr>
        <w:t>Parte III: Motivi di esclusione</w:t>
      </w:r>
      <w:r w:rsidR="008956BD" w:rsidRPr="00B435DF">
        <w:rPr>
          <w:color w:val="000000" w:themeColor="text1"/>
          <w:sz w:val="15"/>
          <w:szCs w:val="15"/>
        </w:rPr>
        <w:t xml:space="preserve"> </w:t>
      </w:r>
      <w:r w:rsidR="008956BD" w:rsidRPr="00B435DF">
        <w:rPr>
          <w:rFonts w:ascii="Arial" w:hAnsi="Arial" w:cs="Arial"/>
          <w:caps/>
          <w:color w:val="000000" w:themeColor="text1"/>
          <w:sz w:val="15"/>
          <w:szCs w:val="15"/>
        </w:rPr>
        <w:t>(</w:t>
      </w:r>
      <w:r w:rsidR="008956BD" w:rsidRPr="00B435DF">
        <w:rPr>
          <w:rFonts w:ascii="Arial" w:hAnsi="Arial" w:cs="Arial"/>
          <w:color w:val="000000" w:themeColor="text1"/>
          <w:sz w:val="15"/>
          <w:szCs w:val="15"/>
        </w:rPr>
        <w:t>Articolo 80 del Codi</w:t>
      </w:r>
      <w:r w:rsidR="00FC41B5" w:rsidRPr="00B435DF">
        <w:rPr>
          <w:rFonts w:ascii="Arial" w:hAnsi="Arial" w:cs="Arial"/>
          <w:color w:val="000000" w:themeColor="text1"/>
          <w:sz w:val="15"/>
          <w:szCs w:val="15"/>
        </w:rPr>
        <w:t>ce</w:t>
      </w:r>
      <w:r w:rsidR="008956BD" w:rsidRPr="00B435DF">
        <w:rPr>
          <w:rFonts w:ascii="Arial" w:hAnsi="Arial" w:cs="Arial"/>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proofErr w:type="gramStart"/>
      <w:r w:rsidRPr="00B435DF">
        <w:rPr>
          <w:rFonts w:ascii="Arial" w:hAnsi="Arial" w:cs="Arial"/>
          <w:color w:val="000000" w:themeColor="text1"/>
          <w:sz w:val="15"/>
          <w:szCs w:val="15"/>
        </w:rPr>
        <w:t>Corruzione(</w:t>
      </w:r>
      <w:proofErr w:type="gramEnd"/>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proofErr w:type="gramStart"/>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proofErr w:type="gramEnd"/>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5"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5"/>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 xml:space="preserve">Lavoro minorile e altre forme di tratta di esseri </w:t>
      </w:r>
      <w:proofErr w:type="gramStart"/>
      <w:r w:rsidR="00CC2D89" w:rsidRPr="00B435DF">
        <w:rPr>
          <w:rFonts w:ascii="Arial" w:hAnsi="Arial" w:cs="Arial"/>
          <w:color w:val="000000" w:themeColor="text1"/>
          <w:sz w:val="15"/>
          <w:szCs w:val="15"/>
        </w:rPr>
        <w:t>umani(</w:t>
      </w:r>
      <w:proofErr w:type="gramEnd"/>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c) durata del periodo d'esclusione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0AF4E680"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w:t>
            </w:r>
            <w:proofErr w:type="gramStart"/>
            <w:r w:rsidRPr="00B435DF">
              <w:rPr>
                <w:rFonts w:ascii="Arial" w:hAnsi="Arial" w:cs="Arial"/>
                <w:color w:val="000000" w:themeColor="text1"/>
                <w:sz w:val="15"/>
                <w:szCs w:val="15"/>
              </w:rPr>
              <w:t>documentazione)</w:t>
            </w:r>
            <w:r w:rsidR="00D3594F" w:rsidRPr="00B435DF">
              <w:rPr>
                <w:rFonts w:ascii="Arial" w:hAnsi="Arial" w:cs="Arial"/>
                <w:color w:val="000000" w:themeColor="text1"/>
                <w:sz w:val="15"/>
                <w:szCs w:val="15"/>
              </w:rPr>
              <w:t>(</w:t>
            </w:r>
            <w:proofErr w:type="gramEnd"/>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xml:space="preserve">, del </w:t>
            </w:r>
            <w:proofErr w:type="gramStart"/>
            <w:r w:rsidR="00A96CE8" w:rsidRPr="00B435DF">
              <w:rPr>
                <w:rFonts w:ascii="Arial" w:hAnsi="Arial" w:cs="Arial"/>
                <w:color w:val="000000" w:themeColor="text1"/>
                <w:sz w:val="15"/>
                <w:szCs w:val="15"/>
              </w:rPr>
              <w:t>Codice ?</w:t>
            </w:r>
            <w:proofErr w:type="gramEnd"/>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 xml:space="preserve">gravi illeciti </w:t>
            </w:r>
            <w:proofErr w:type="gramStart"/>
            <w:r w:rsidRPr="00B435DF">
              <w:rPr>
                <w:rFonts w:ascii="Arial" w:hAnsi="Arial" w:cs="Arial"/>
                <w:b/>
                <w:color w:val="000000" w:themeColor="text1"/>
                <w:sz w:val="15"/>
                <w:szCs w:val="15"/>
              </w:rPr>
              <w:t>professionali</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 xml:space="preserve">conflitto di </w:t>
            </w:r>
            <w:proofErr w:type="gramStart"/>
            <w:r w:rsidRPr="00B435DF">
              <w:rPr>
                <w:rFonts w:ascii="Arial" w:hAnsi="Arial" w:cs="Arial"/>
                <w:b/>
                <w:color w:val="000000" w:themeColor="text1"/>
                <w:sz w:val="15"/>
                <w:szCs w:val="15"/>
              </w:rPr>
              <w:t>interessi</w:t>
            </w:r>
            <w:r w:rsidR="00D3594F" w:rsidRPr="00B435DF">
              <w:rPr>
                <w:rFonts w:ascii="Arial" w:hAnsi="Arial" w:cs="Arial"/>
                <w:b/>
                <w:color w:val="000000" w:themeColor="text1"/>
                <w:sz w:val="15"/>
                <w:szCs w:val="15"/>
              </w:rPr>
              <w:t>(</w:t>
            </w:r>
            <w:proofErr w:type="gramEnd"/>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lastRenderedPageBreak/>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lastRenderedPageBreak/>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proofErr w:type="gramStart"/>
            <w:r w:rsidR="001F7093"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esercizio:  [</w:t>
            </w:r>
            <w:proofErr w:type="gramEnd"/>
            <w:r w:rsidRPr="00B435DF">
              <w:rPr>
                <w:rFonts w:ascii="Arial" w:hAnsi="Arial" w:cs="Arial"/>
                <w:color w:val="000000" w:themeColor="text1"/>
                <w:sz w:val="15"/>
                <w:szCs w:val="15"/>
              </w:rPr>
              <w:t>……]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 xml:space="preserve">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w:t>
            </w:r>
            <w:proofErr w:type="gramStart"/>
            <w:r w:rsidRPr="00B435DF">
              <w:rPr>
                <w:rFonts w:ascii="Arial" w:hAnsi="Arial" w:cs="Arial"/>
                <w:color w:val="000000" w:themeColor="text1"/>
                <w:sz w:val="15"/>
                <w:szCs w:val="15"/>
              </w:rPr>
              <w:t>…]valuta</w:t>
            </w:r>
            <w:proofErr w:type="gramEnd"/>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6" w:name="_DV_M4300"/>
            <w:bookmarkStart w:id="7" w:name="_DV_M4301"/>
            <w:bookmarkEnd w:id="6"/>
            <w:bookmarkEnd w:id="7"/>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 xml:space="preserve">durante il periodo di </w:t>
            </w:r>
            <w:proofErr w:type="gramStart"/>
            <w:r w:rsidRPr="00B435DF">
              <w:rPr>
                <w:rFonts w:ascii="Arial" w:hAnsi="Arial" w:cs="Arial"/>
                <w:color w:val="000000" w:themeColor="text1"/>
                <w:sz w:val="15"/>
                <w:szCs w:val="15"/>
              </w:rPr>
              <w:t>riferimento</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b) </w:t>
            </w:r>
            <w:r w:rsidR="003B1810"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 xml:space="preserve">Indicare nell'elenco gli importi, le date e i destinatari, pubblici o </w:t>
            </w:r>
            <w:proofErr w:type="gramStart"/>
            <w:r w:rsidR="00472387" w:rsidRPr="00B435DF">
              <w:rPr>
                <w:rFonts w:ascii="Arial" w:hAnsi="Arial" w:cs="Arial"/>
                <w:color w:val="000000" w:themeColor="text1"/>
                <w:sz w:val="15"/>
                <w:szCs w:val="15"/>
              </w:rPr>
              <w:t>privati</w:t>
            </w:r>
            <w:r w:rsidR="00852D81" w:rsidRPr="00B435DF">
              <w:rPr>
                <w:rFonts w:ascii="Arial" w:hAnsi="Arial" w:cs="Arial"/>
                <w:color w:val="000000" w:themeColor="text1"/>
                <w:sz w:val="15"/>
                <w:szCs w:val="15"/>
              </w:rPr>
              <w:t>(</w:t>
            </w:r>
            <w:proofErr w:type="gramEnd"/>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proofErr w:type="gramStart"/>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roofErr w:type="gramStart"/>
            <w:r w:rsidRPr="00B435DF">
              <w:rPr>
                <w:rFonts w:ascii="Arial" w:hAnsi="Arial" w:cs="Arial"/>
                <w:color w:val="000000" w:themeColor="text1"/>
                <w:sz w:val="15"/>
                <w:szCs w:val="15"/>
              </w:rP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 xml:space="preserve">intende eventualmente </w:t>
            </w:r>
            <w:proofErr w:type="gramStart"/>
            <w:r w:rsidRPr="00B435DF">
              <w:rPr>
                <w:rFonts w:ascii="Arial" w:hAnsi="Arial" w:cs="Arial"/>
                <w:b/>
                <w:color w:val="000000" w:themeColor="text1"/>
                <w:sz w:val="15"/>
                <w:szCs w:val="15"/>
              </w:rPr>
              <w:t>subappaltare</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w:t>
      </w:r>
      <w:proofErr w:type="gramStart"/>
      <w:r w:rsidR="00FE4B40">
        <w:rPr>
          <w:rFonts w:ascii="Arial" w:hAnsi="Arial" w:cs="Arial"/>
          <w:i/>
          <w:color w:val="000000" w:themeColor="text1"/>
          <w:sz w:val="15"/>
          <w:szCs w:val="15"/>
        </w:rPr>
        <w:t xml:space="preserve">attivata </w:t>
      </w:r>
      <w:r w:rsidRPr="00B435DF">
        <w:rPr>
          <w:rFonts w:ascii="Arial" w:hAnsi="Arial" w:cs="Arial"/>
          <w:i/>
          <w:color w:val="000000" w:themeColor="text1"/>
          <w:sz w:val="15"/>
          <w:szCs w:val="15"/>
        </w:rPr>
        <w:t xml:space="preserve"> ad</w:t>
      </w:r>
      <w:proofErr w:type="gramEnd"/>
      <w:r w:rsidRPr="00B435DF">
        <w:rPr>
          <w:rFonts w:ascii="Arial" w:hAnsi="Arial" w:cs="Arial"/>
          <w:i/>
          <w:color w:val="000000" w:themeColor="text1"/>
          <w:sz w:val="15"/>
          <w:szCs w:val="15"/>
        </w:rPr>
        <w:t xml:space="preserve">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default"/>
    <w:sig w:usb0="00000003" w:usb1="00000000" w:usb2="00000000" w:usb3="00000000" w:csb0="00000001" w:csb1="00000000"/>
  </w:font>
  <w:font w:name="Arial">
    <w:altName w:val="Tahoma"/>
    <w:panose1 w:val="020B0604020202020204"/>
    <w:charset w:val="00"/>
    <w:family w:val="swiss"/>
    <w:pitch w:val="variable"/>
    <w:sig w:usb0="E0002EFF" w:usb1="C000785B" w:usb2="00000009" w:usb3="00000000" w:csb0="000001FF" w:csb1="00000000"/>
  </w:font>
  <w:font w:name="Calibri">
    <w:altName w:val="GillSans"/>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4" w:name="_DV_C939"/>
      <w:r w:rsidRPr="00DC6298">
        <w:rPr>
          <w:rFonts w:ascii="Arial" w:hAnsi="Arial" w:cs="Arial"/>
          <w:sz w:val="12"/>
          <w:szCs w:val="12"/>
        </w:rPr>
        <w:t>persone disabili o svantaggiate</w:t>
      </w:r>
      <w:bookmarkEnd w:id="4"/>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styleLink w:val="List5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B711386"/>
    <w:multiLevelType w:val="hybridMultilevel"/>
    <w:tmpl w:val="71C4EEB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79E4BFA"/>
    <w:multiLevelType w:val="hybridMultilevel"/>
    <w:tmpl w:val="7F30C916"/>
    <w:lvl w:ilvl="0" w:tplc="37982A76">
      <w:start w:val="4"/>
      <w:numFmt w:val="bullet"/>
      <w:lvlText w:val="-"/>
      <w:lvlJc w:val="left"/>
      <w:pPr>
        <w:ind w:left="720" w:hanging="360"/>
      </w:pPr>
      <w:rPr>
        <w:rFonts w:ascii="Arial" w:eastAsia="Times New Roman" w:hAnsi="Arial" w:cs="Arial" w:hint="default"/>
        <w:b/>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0AD7E0C"/>
    <w:multiLevelType w:val="hybridMultilevel"/>
    <w:tmpl w:val="E1CA8C9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80A3B35"/>
    <w:multiLevelType w:val="hybridMultilevel"/>
    <w:tmpl w:val="5D448C18"/>
    <w:lvl w:ilvl="0" w:tplc="04100001">
      <w:start w:val="1"/>
      <w:numFmt w:val="bullet"/>
      <w:lvlText w:val=""/>
      <w:lvlJc w:val="left"/>
      <w:pPr>
        <w:ind w:left="644" w:hanging="360"/>
      </w:pPr>
      <w:rPr>
        <w:rFonts w:ascii="Symbol" w:hAnsi="Symbol"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4"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977462D"/>
    <w:multiLevelType w:val="multilevel"/>
    <w:tmpl w:val="F1481C40"/>
    <w:styleLink w:val="List1"/>
    <w:lvl w:ilvl="0">
      <w:start w:val="1"/>
      <w:numFmt w:val="decimal"/>
      <w:lvlText w:val="%1."/>
      <w:lvlJc w:val="left"/>
      <w:pPr>
        <w:tabs>
          <w:tab w:val="num" w:pos="396"/>
        </w:tabs>
        <w:ind w:left="396" w:hanging="396"/>
      </w:pPr>
      <w:rPr>
        <w:rFonts w:ascii="Arial Bold" w:eastAsia="Arial Bold" w:hAnsi="Arial Bold" w:cs="Arial Bold"/>
        <w:color w:val="1F497D"/>
        <w:position w:val="0"/>
        <w:sz w:val="22"/>
        <w:szCs w:val="22"/>
        <w:u w:color="1F497D"/>
        <w:lang w:val="it-IT"/>
      </w:rPr>
    </w:lvl>
    <w:lvl w:ilvl="1">
      <w:start w:val="1"/>
      <w:numFmt w:val="decimal"/>
      <w:lvlText w:val="%1.%2."/>
      <w:lvlJc w:val="left"/>
      <w:pPr>
        <w:tabs>
          <w:tab w:val="num" w:pos="110"/>
        </w:tabs>
      </w:pPr>
      <w:rPr>
        <w:rFonts w:ascii="Arial Bold" w:eastAsia="Arial Bold" w:hAnsi="Arial Bold" w:cs="Arial Bold"/>
        <w:color w:val="1F497D"/>
        <w:position w:val="0"/>
        <w:sz w:val="22"/>
        <w:szCs w:val="22"/>
        <w:u w:color="1F497D"/>
        <w:lang w:val="it-IT"/>
      </w:rPr>
    </w:lvl>
    <w:lvl w:ilvl="2">
      <w:start w:val="1"/>
      <w:numFmt w:val="lowerLetter"/>
      <w:lvlText w:val="%3."/>
      <w:lvlJc w:val="left"/>
      <w:pPr>
        <w:tabs>
          <w:tab w:val="num" w:pos="110"/>
        </w:tabs>
      </w:pPr>
      <w:rPr>
        <w:rFonts w:ascii="Arial Bold" w:eastAsia="Arial Bold" w:hAnsi="Arial Bold" w:cs="Arial Bold"/>
        <w:color w:val="1F497D"/>
        <w:position w:val="0"/>
        <w:sz w:val="22"/>
        <w:szCs w:val="22"/>
        <w:u w:color="1F497D"/>
        <w:lang w:val="it-IT"/>
      </w:rPr>
    </w:lvl>
    <w:lvl w:ilvl="3">
      <w:start w:val="1"/>
      <w:numFmt w:val="lowerLetter"/>
      <w:lvlText w:val="%4)"/>
      <w:lvlJc w:val="left"/>
      <w:pPr>
        <w:tabs>
          <w:tab w:val="num" w:pos="110"/>
        </w:tabs>
      </w:pPr>
      <w:rPr>
        <w:rFonts w:ascii="Arial Bold" w:eastAsia="Arial Bold" w:hAnsi="Arial Bold" w:cs="Arial Bold"/>
        <w:color w:val="1F497D"/>
        <w:position w:val="0"/>
        <w:sz w:val="22"/>
        <w:szCs w:val="22"/>
        <w:u w:color="1F497D"/>
        <w:lang w:val="it-IT"/>
      </w:rPr>
    </w:lvl>
    <w:lvl w:ilvl="4">
      <w:start w:val="1"/>
      <w:numFmt w:val="decimal"/>
      <w:lvlText w:val="%1.%2.%3.%4.%5."/>
      <w:lvlJc w:val="left"/>
      <w:pPr>
        <w:tabs>
          <w:tab w:val="num" w:pos="110"/>
        </w:tabs>
      </w:pPr>
      <w:rPr>
        <w:rFonts w:ascii="Arial Bold" w:eastAsia="Arial Bold" w:hAnsi="Arial Bold" w:cs="Arial Bold"/>
        <w:color w:val="1F497D"/>
        <w:position w:val="0"/>
        <w:sz w:val="22"/>
        <w:szCs w:val="22"/>
        <w:u w:color="1F497D"/>
        <w:lang w:val="it-IT"/>
      </w:rPr>
    </w:lvl>
    <w:lvl w:ilvl="5">
      <w:start w:val="1"/>
      <w:numFmt w:val="decimal"/>
      <w:lvlText w:val="%1.%2.%3.%4.%5.%6."/>
      <w:lvlJc w:val="left"/>
      <w:pPr>
        <w:tabs>
          <w:tab w:val="num" w:pos="110"/>
        </w:tabs>
      </w:pPr>
      <w:rPr>
        <w:rFonts w:ascii="Arial Bold" w:eastAsia="Arial Bold" w:hAnsi="Arial Bold" w:cs="Arial Bold"/>
        <w:color w:val="1F497D"/>
        <w:position w:val="0"/>
        <w:sz w:val="22"/>
        <w:szCs w:val="22"/>
        <w:u w:color="1F497D"/>
        <w:lang w:val="it-IT"/>
      </w:rPr>
    </w:lvl>
    <w:lvl w:ilvl="6">
      <w:start w:val="1"/>
      <w:numFmt w:val="decimal"/>
      <w:lvlText w:val="%1.%2.%3.%4.%5.%6.%7."/>
      <w:lvlJc w:val="left"/>
      <w:pPr>
        <w:tabs>
          <w:tab w:val="num" w:pos="110"/>
        </w:tabs>
      </w:pPr>
      <w:rPr>
        <w:rFonts w:ascii="Arial Bold" w:eastAsia="Arial Bold" w:hAnsi="Arial Bold" w:cs="Arial Bold"/>
        <w:color w:val="1F497D"/>
        <w:position w:val="0"/>
        <w:sz w:val="22"/>
        <w:szCs w:val="22"/>
        <w:u w:color="1F497D"/>
        <w:lang w:val="it-IT"/>
      </w:rPr>
    </w:lvl>
    <w:lvl w:ilvl="7">
      <w:start w:val="1"/>
      <w:numFmt w:val="decimal"/>
      <w:lvlText w:val="%1.%2.%3.%4.%5.%6.%7.%8."/>
      <w:lvlJc w:val="left"/>
      <w:pPr>
        <w:tabs>
          <w:tab w:val="num" w:pos="110"/>
        </w:tabs>
      </w:pPr>
      <w:rPr>
        <w:rFonts w:ascii="Arial Bold" w:eastAsia="Arial Bold" w:hAnsi="Arial Bold" w:cs="Arial Bold"/>
        <w:color w:val="1F497D"/>
        <w:position w:val="0"/>
        <w:sz w:val="22"/>
        <w:szCs w:val="22"/>
        <w:u w:color="1F497D"/>
        <w:lang w:val="it-IT"/>
      </w:rPr>
    </w:lvl>
    <w:lvl w:ilvl="8">
      <w:start w:val="1"/>
      <w:numFmt w:val="decimal"/>
      <w:lvlText w:val="%1.%2.%3.%4.%5.%6.%7.%8.%9."/>
      <w:lvlJc w:val="left"/>
      <w:pPr>
        <w:tabs>
          <w:tab w:val="num" w:pos="110"/>
        </w:tabs>
      </w:pPr>
      <w:rPr>
        <w:rFonts w:ascii="Arial Bold" w:eastAsia="Arial Bold" w:hAnsi="Arial Bold" w:cs="Arial Bold"/>
        <w:color w:val="1F497D"/>
        <w:position w:val="0"/>
        <w:sz w:val="22"/>
        <w:szCs w:val="22"/>
        <w:u w:color="1F497D"/>
        <w:lang w:val="it-IT"/>
      </w:rPr>
    </w:lvl>
  </w:abstractNum>
  <w:abstractNum w:abstractNumId="27"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574764">
    <w:abstractNumId w:val="23"/>
  </w:num>
  <w:num w:numId="2" w16cid:durableId="1906838556">
    <w:abstractNumId w:val="11"/>
  </w:num>
  <w:num w:numId="3" w16cid:durableId="916012513">
    <w:abstractNumId w:val="20"/>
  </w:num>
  <w:num w:numId="4" w16cid:durableId="984236807">
    <w:abstractNumId w:val="24"/>
  </w:num>
  <w:num w:numId="5" w16cid:durableId="102768485">
    <w:abstractNumId w:val="12"/>
  </w:num>
  <w:num w:numId="6" w16cid:durableId="1924022524">
    <w:abstractNumId w:val="5"/>
  </w:num>
  <w:num w:numId="7" w16cid:durableId="810640106">
    <w:abstractNumId w:val="21"/>
  </w:num>
  <w:num w:numId="8" w16cid:durableId="1793983469">
    <w:abstractNumId w:val="31"/>
  </w:num>
  <w:num w:numId="9" w16cid:durableId="880243329">
    <w:abstractNumId w:val="3"/>
  </w:num>
  <w:num w:numId="10" w16cid:durableId="767165410">
    <w:abstractNumId w:val="25"/>
  </w:num>
  <w:num w:numId="11" w16cid:durableId="1226184811">
    <w:abstractNumId w:val="15"/>
  </w:num>
  <w:num w:numId="12" w16cid:durableId="1609042001">
    <w:abstractNumId w:val="28"/>
  </w:num>
  <w:num w:numId="13" w16cid:durableId="644972486">
    <w:abstractNumId w:val="13"/>
  </w:num>
  <w:num w:numId="14" w16cid:durableId="215900311">
    <w:abstractNumId w:val="17"/>
  </w:num>
  <w:num w:numId="15" w16cid:durableId="1853110495">
    <w:abstractNumId w:val="29"/>
  </w:num>
  <w:num w:numId="16" w16cid:durableId="6283194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1503367">
    <w:abstractNumId w:val="20"/>
    <w:lvlOverride w:ilvl="0">
      <w:startOverride w:val="1"/>
    </w:lvlOverride>
  </w:num>
  <w:num w:numId="18" w16cid:durableId="813641009">
    <w:abstractNumId w:val="23"/>
    <w:lvlOverride w:ilvl="0">
      <w:startOverride w:val="1"/>
    </w:lvlOverride>
  </w:num>
  <w:num w:numId="19" w16cid:durableId="418335387">
    <w:abstractNumId w:val="10"/>
  </w:num>
  <w:num w:numId="20" w16cid:durableId="784539119">
    <w:abstractNumId w:val="27"/>
  </w:num>
  <w:num w:numId="21" w16cid:durableId="706107774">
    <w:abstractNumId w:val="4"/>
  </w:num>
  <w:num w:numId="22" w16cid:durableId="709231436">
    <w:abstractNumId w:val="30"/>
  </w:num>
  <w:num w:numId="23" w16cid:durableId="1523783365">
    <w:abstractNumId w:val="2"/>
  </w:num>
  <w:num w:numId="24" w16cid:durableId="26025454">
    <w:abstractNumId w:val="18"/>
  </w:num>
  <w:num w:numId="25" w16cid:durableId="1425958229">
    <w:abstractNumId w:val="7"/>
  </w:num>
  <w:num w:numId="26" w16cid:durableId="945045082">
    <w:abstractNumId w:val="9"/>
  </w:num>
  <w:num w:numId="27" w16cid:durableId="1230575121">
    <w:abstractNumId w:val="14"/>
  </w:num>
  <w:num w:numId="28" w16cid:durableId="99880118">
    <w:abstractNumId w:val="16"/>
  </w:num>
  <w:num w:numId="29" w16cid:durableId="2118861968">
    <w:abstractNumId w:val="26"/>
  </w:num>
  <w:num w:numId="30" w16cid:durableId="487206640">
    <w:abstractNumId w:val="8"/>
  </w:num>
  <w:num w:numId="31" w16cid:durableId="1717507847">
    <w:abstractNumId w:val="19"/>
  </w:num>
  <w:num w:numId="32" w16cid:durableId="564485622">
    <w:abstractNumId w:val="6"/>
  </w:num>
  <w:num w:numId="33" w16cid:durableId="3867703">
    <w:abstractNumId w:val="22"/>
  </w:num>
  <w:num w:numId="34" w16cid:durableId="248273563">
    <w:abstractNumId w:val="0"/>
  </w:num>
  <w:num w:numId="35" w16cid:durableId="133179551">
    <w:abstractNumId w:val="0"/>
  </w:num>
  <w:num w:numId="36" w16cid:durableId="510264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proofState w:spelling="clean" w:grammar="clean"/>
  <w:defaultTabStop w:val="708"/>
  <w:hyphenationZone w:val="283"/>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00FE"/>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6374"/>
    <w:rsid w:val="001E73E4"/>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0B36"/>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48F2"/>
    <w:rsid w:val="00386B99"/>
    <w:rsid w:val="003920FE"/>
    <w:rsid w:val="00395CDD"/>
    <w:rsid w:val="00396995"/>
    <w:rsid w:val="003A02A7"/>
    <w:rsid w:val="003A1D4A"/>
    <w:rsid w:val="003A4E6C"/>
    <w:rsid w:val="003A6E4D"/>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2C69"/>
    <w:rsid w:val="00404A1A"/>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A2D5D"/>
    <w:rsid w:val="005A6DED"/>
    <w:rsid w:val="005B4E2F"/>
    <w:rsid w:val="005C4314"/>
    <w:rsid w:val="005D14A8"/>
    <w:rsid w:val="005D1F4F"/>
    <w:rsid w:val="005D4886"/>
    <w:rsid w:val="005D6E5F"/>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04D9"/>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2972"/>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D0E6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086D"/>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D02E4"/>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CA0"/>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A609C"/>
    <w:rsid w:val="00EC2677"/>
    <w:rsid w:val="00ED2A29"/>
    <w:rsid w:val="00ED5D4B"/>
    <w:rsid w:val="00EE1AF4"/>
    <w:rsid w:val="00EE5502"/>
    <w:rsid w:val="00EF6BE4"/>
    <w:rsid w:val="00F0080C"/>
    <w:rsid w:val="00F02E4F"/>
    <w:rsid w:val="00F066FB"/>
    <w:rsid w:val="00F16487"/>
    <w:rsid w:val="00F221B2"/>
    <w:rsid w:val="00F40D8E"/>
    <w:rsid w:val="00F46310"/>
    <w:rsid w:val="00F62483"/>
    <w:rsid w:val="00F634B1"/>
    <w:rsid w:val="00F701E1"/>
    <w:rsid w:val="00F70FDE"/>
    <w:rsid w:val="00F7302B"/>
    <w:rsid w:val="00F73670"/>
    <w:rsid w:val="00F77293"/>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 w:type="paragraph" w:customStyle="1" w:styleId="a">
    <w:basedOn w:val="Normale"/>
    <w:next w:val="Corpotesto"/>
    <w:link w:val="CorpodeltestoCarattere"/>
    <w:uiPriority w:val="99"/>
    <w:rsid w:val="00290B36"/>
    <w:pPr>
      <w:suppressAutoHyphens/>
      <w:spacing w:before="0" w:after="0"/>
      <w:jc w:val="center"/>
    </w:pPr>
    <w:rPr>
      <w:rFonts w:asciiTheme="minorHAnsi" w:eastAsiaTheme="minorHAnsi" w:hAnsiTheme="minorHAnsi" w:cstheme="minorBidi"/>
      <w:smallCaps/>
      <w:spacing w:val="30"/>
      <w:position w:val="2"/>
      <w:sz w:val="22"/>
      <w:szCs w:val="24"/>
      <w:lang w:eastAsia="ar-SA" w:bidi="ar-SA"/>
    </w:rPr>
  </w:style>
  <w:style w:type="character" w:customStyle="1" w:styleId="CorpodeltestoCarattere">
    <w:name w:val="Corpo del testo Carattere"/>
    <w:link w:val="a"/>
    <w:uiPriority w:val="99"/>
    <w:rsid w:val="00290B36"/>
    <w:rPr>
      <w:smallCaps/>
      <w:spacing w:val="30"/>
      <w:position w:val="2"/>
      <w:sz w:val="22"/>
      <w:szCs w:val="24"/>
      <w:lang w:eastAsia="ar-SA"/>
    </w:rPr>
  </w:style>
  <w:style w:type="paragraph" w:customStyle="1" w:styleId="Nessunaspaziatura1">
    <w:name w:val="Nessuna spaziatura1"/>
    <w:aliases w:val="Commi"/>
    <w:autoRedefine/>
    <w:uiPriority w:val="1"/>
    <w:qFormat/>
    <w:rsid w:val="00290B36"/>
    <w:pPr>
      <w:spacing w:after="60"/>
      <w:ind w:left="1080"/>
    </w:pPr>
    <w:rPr>
      <w:rFonts w:ascii="Calibri" w:eastAsia="Calibri" w:hAnsi="Calibri" w:cs="Times New Roman"/>
      <w:bCs/>
    </w:rPr>
  </w:style>
  <w:style w:type="paragraph" w:styleId="Corpotesto">
    <w:name w:val="Body Text"/>
    <w:basedOn w:val="Normale"/>
    <w:link w:val="CorpotestoCarattere"/>
    <w:uiPriority w:val="99"/>
    <w:semiHidden/>
    <w:unhideWhenUsed/>
    <w:rsid w:val="00290B36"/>
  </w:style>
  <w:style w:type="character" w:customStyle="1" w:styleId="CorpotestoCarattere">
    <w:name w:val="Corpo testo Carattere"/>
    <w:basedOn w:val="Carpredefinitoparagrafo"/>
    <w:link w:val="Corpotesto"/>
    <w:uiPriority w:val="99"/>
    <w:semiHidden/>
    <w:rsid w:val="00290B36"/>
    <w:rPr>
      <w:rFonts w:ascii="Times New Roman" w:eastAsia="Calibri" w:hAnsi="Times New Roman" w:cs="Times New Roman"/>
      <w:sz w:val="24"/>
      <w:lang w:eastAsia="it-IT" w:bidi="it-IT"/>
    </w:rPr>
  </w:style>
  <w:style w:type="numbering" w:customStyle="1" w:styleId="List1">
    <w:name w:val="List 1"/>
    <w:basedOn w:val="Nessunelenco"/>
    <w:rsid w:val="00DC7CA0"/>
    <w:pPr>
      <w:numPr>
        <w:numId w:val="29"/>
      </w:numPr>
    </w:pPr>
  </w:style>
  <w:style w:type="paragraph" w:customStyle="1" w:styleId="Proposta">
    <w:name w:val="Proposta"/>
    <w:rsid w:val="00DC7CA0"/>
    <w:pPr>
      <w:autoSpaceDE w:val="0"/>
      <w:autoSpaceDN w:val="0"/>
      <w:spacing w:after="0"/>
    </w:pPr>
    <w:rPr>
      <w:rFonts w:ascii="Arial" w:eastAsia="Times New Roman" w:hAnsi="Arial" w:cs="Arial"/>
      <w:sz w:val="24"/>
      <w:szCs w:val="24"/>
      <w:lang w:eastAsia="it-IT"/>
    </w:rPr>
  </w:style>
  <w:style w:type="numbering" w:customStyle="1" w:styleId="Stileimportato61">
    <w:name w:val="Stile importato 61"/>
    <w:rsid w:val="00F77293"/>
  </w:style>
  <w:style w:type="numbering" w:customStyle="1" w:styleId="List552">
    <w:name w:val="List 552"/>
    <w:rsid w:val="0081297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354455903">
      <w:bodyDiv w:val="1"/>
      <w:marLeft w:val="0"/>
      <w:marRight w:val="0"/>
      <w:marTop w:val="0"/>
      <w:marBottom w:val="0"/>
      <w:divBdr>
        <w:top w:val="none" w:sz="0" w:space="0" w:color="auto"/>
        <w:left w:val="none" w:sz="0" w:space="0" w:color="auto"/>
        <w:bottom w:val="none" w:sz="0" w:space="0" w:color="auto"/>
        <w:right w:val="none" w:sz="0" w:space="0" w:color="auto"/>
      </w:divBdr>
    </w:div>
    <w:div w:id="1399328774">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2.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4.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6820</Words>
  <Characters>38878</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45607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2022-09-26T08:12:00Z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